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cs="Times New Roman"/>
          <w:sz w:val="44"/>
          <w:szCs w:val="44"/>
        </w:rPr>
      </w:pPr>
      <w:r>
        <w:rPr>
          <w:rFonts w:hint="eastAsia" w:ascii="黑体" w:hAnsi="黑体" w:eastAsia="黑体" w:cs="黑体"/>
          <w:sz w:val="44"/>
          <w:szCs w:val="44"/>
        </w:rPr>
        <w:t>企业职工基本养老保险正常退休资格确认</w:t>
      </w:r>
    </w:p>
    <w:p>
      <w:pPr>
        <w:spacing w:line="500" w:lineRule="exact"/>
        <w:jc w:val="center"/>
        <w:rPr>
          <w:rFonts w:ascii="黑体" w:hAnsi="黑体" w:eastAsia="黑体" w:cs="Times New Roman"/>
          <w:sz w:val="44"/>
          <w:szCs w:val="44"/>
        </w:rPr>
      </w:pPr>
      <w:r>
        <w:rPr>
          <w:rFonts w:hint="eastAsia" w:ascii="黑体" w:hAnsi="黑体" w:eastAsia="黑体" w:cs="黑体"/>
          <w:sz w:val="44"/>
          <w:szCs w:val="44"/>
        </w:rPr>
        <w:t>流程清单</w:t>
      </w:r>
    </w:p>
    <w:p>
      <w:pPr>
        <w:spacing w:line="500" w:lineRule="exact"/>
        <w:jc w:val="right"/>
        <w:rPr>
          <w:rFonts w:ascii="仿宋_GB2312" w:hAnsi="仿宋_GB2312" w:eastAsia="仿宋_GB2312" w:cs="Times New Roman"/>
          <w:sz w:val="28"/>
          <w:szCs w:val="28"/>
        </w:rPr>
      </w:pPr>
    </w:p>
    <w:p>
      <w:pPr>
        <w:numPr>
          <w:ilvl w:val="0"/>
          <w:numId w:val="1"/>
        </w:numPr>
        <w:spacing w:line="500" w:lineRule="exact"/>
        <w:rPr>
          <w:rFonts w:ascii="仿宋_GB2312" w:hAnsi="仿宋_GB2312" w:eastAsia="仿宋_GB2312" w:cs="Times New Roman"/>
          <w:sz w:val="28"/>
          <w:szCs w:val="28"/>
        </w:rPr>
      </w:pPr>
      <w:r>
        <w:rPr>
          <w:rFonts w:hint="eastAsia" w:ascii="仿宋_GB2312" w:hAnsi="仿宋_GB2312" w:eastAsia="仿宋_GB2312" w:cs="仿宋_GB2312"/>
          <w:b/>
          <w:bCs/>
          <w:sz w:val="28"/>
          <w:szCs w:val="28"/>
        </w:rPr>
        <w:t>办理事项名称：</w:t>
      </w:r>
      <w:r>
        <w:rPr>
          <w:rFonts w:hint="eastAsia" w:ascii="仿宋_GB2312" w:hAnsi="仿宋_GB2312" w:eastAsia="仿宋_GB2312" w:cs="仿宋_GB2312"/>
          <w:sz w:val="28"/>
          <w:szCs w:val="28"/>
        </w:rPr>
        <w:t>企业职工基本养老保险正常退休资格确认</w:t>
      </w:r>
    </w:p>
    <w:p>
      <w:pPr>
        <w:numPr>
          <w:ilvl w:val="0"/>
          <w:numId w:val="1"/>
        </w:numPr>
        <w:spacing w:line="500" w:lineRule="exact"/>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事项类型：</w:t>
      </w:r>
      <w:r>
        <w:rPr>
          <w:rFonts w:hint="eastAsia" w:ascii="仿宋_GB2312" w:hAnsi="仿宋_GB2312" w:eastAsia="仿宋_GB2312" w:cs="仿宋_GB2312"/>
          <w:sz w:val="28"/>
          <w:szCs w:val="28"/>
        </w:rPr>
        <w:t>公共服务事项</w:t>
      </w:r>
    </w:p>
    <w:p>
      <w:pPr>
        <w:numPr>
          <w:ilvl w:val="0"/>
          <w:numId w:val="1"/>
        </w:numPr>
        <w:spacing w:line="500" w:lineRule="exact"/>
        <w:rPr>
          <w:rFonts w:ascii="仿宋_GB2312" w:hAnsi="仿宋_GB2312" w:eastAsia="仿宋_GB2312" w:cs="Times New Roman"/>
          <w:sz w:val="28"/>
          <w:szCs w:val="28"/>
        </w:rPr>
      </w:pPr>
      <w:r>
        <w:rPr>
          <w:rFonts w:hint="eastAsia" w:ascii="仿宋_GB2312" w:hAnsi="仿宋_GB2312" w:eastAsia="仿宋_GB2312" w:cs="仿宋_GB2312"/>
          <w:b/>
          <w:bCs/>
          <w:sz w:val="28"/>
          <w:szCs w:val="28"/>
        </w:rPr>
        <w:t>服务对象：</w:t>
      </w:r>
      <w:r>
        <w:rPr>
          <w:rFonts w:hint="eastAsia" w:ascii="仿宋_GB2312" w:hAnsi="仿宋_GB2312" w:eastAsia="仿宋_GB2312" w:cs="仿宋_GB2312"/>
          <w:sz w:val="28"/>
          <w:szCs w:val="28"/>
        </w:rPr>
        <w:t>参保单位、长沙市市本级灵活就业参保人员</w:t>
      </w:r>
    </w:p>
    <w:p>
      <w:pPr>
        <w:spacing w:line="500" w:lineRule="exact"/>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四、办理依据：</w:t>
      </w:r>
    </w:p>
    <w:p>
      <w:pPr>
        <w:spacing w:line="500" w:lineRule="exact"/>
        <w:rPr>
          <w:rFonts w:ascii="仿宋_GB2312" w:hAnsi="仿宋_GB2312" w:eastAsia="仿宋_GB2312" w:cs="Times New Roman"/>
          <w:sz w:val="28"/>
          <w:szCs w:val="28"/>
        </w:rPr>
      </w:pP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sz w:val="28"/>
          <w:szCs w:val="28"/>
        </w:rPr>
        <w:t>《中华人民共和国社会保险法》、《中华人民共和国人力资源和社会保障部令》（第</w:t>
      </w:r>
      <w:r>
        <w:rPr>
          <w:rFonts w:ascii="仿宋_GB2312" w:hAnsi="仿宋_GB2312" w:eastAsia="仿宋_GB2312" w:cs="仿宋_GB2312"/>
          <w:sz w:val="28"/>
          <w:szCs w:val="28"/>
        </w:rPr>
        <w:t>13</w:t>
      </w:r>
      <w:r>
        <w:rPr>
          <w:rFonts w:hint="eastAsia" w:ascii="仿宋_GB2312" w:hAnsi="仿宋_GB2312" w:eastAsia="仿宋_GB2312" w:cs="仿宋_GB2312"/>
          <w:sz w:val="28"/>
          <w:szCs w:val="28"/>
        </w:rPr>
        <w:t>号）、《国务院关于颁发</w:t>
      </w:r>
      <w:r>
        <w:rPr>
          <w:rFonts w:ascii="仿宋_GB2312" w:hAnsi="仿宋_GB2312" w:eastAsia="仿宋_GB2312" w:cs="仿宋_GB2312"/>
          <w:sz w:val="28"/>
          <w:szCs w:val="28"/>
        </w:rPr>
        <w:t>&lt;</w:t>
      </w:r>
      <w:r>
        <w:rPr>
          <w:rFonts w:hint="eastAsia" w:ascii="仿宋_GB2312" w:hAnsi="仿宋_GB2312" w:eastAsia="仿宋_GB2312" w:cs="仿宋_GB2312"/>
          <w:sz w:val="28"/>
          <w:szCs w:val="28"/>
        </w:rPr>
        <w:t>国务院关于安置老弱病残干部暂行办法</w:t>
      </w:r>
      <w:r>
        <w:rPr>
          <w:rFonts w:ascii="仿宋_GB2312" w:hAnsi="仿宋_GB2312" w:eastAsia="仿宋_GB2312" w:cs="仿宋_GB2312"/>
          <w:sz w:val="28"/>
          <w:szCs w:val="28"/>
        </w:rPr>
        <w:t>&gt;</w:t>
      </w:r>
      <w:r>
        <w:rPr>
          <w:rFonts w:hint="eastAsia" w:ascii="仿宋_GB2312" w:hAnsi="仿宋_GB2312" w:eastAsia="仿宋_GB2312" w:cs="仿宋_GB2312"/>
          <w:sz w:val="28"/>
          <w:szCs w:val="28"/>
        </w:rPr>
        <w:t>和</w:t>
      </w:r>
      <w:r>
        <w:rPr>
          <w:rFonts w:ascii="仿宋_GB2312" w:hAnsi="仿宋_GB2312" w:eastAsia="仿宋_GB2312" w:cs="仿宋_GB2312"/>
          <w:sz w:val="28"/>
          <w:szCs w:val="28"/>
        </w:rPr>
        <w:t>&lt;</w:t>
      </w:r>
      <w:r>
        <w:rPr>
          <w:rFonts w:hint="eastAsia" w:ascii="仿宋_GB2312" w:hAnsi="仿宋_GB2312" w:eastAsia="仿宋_GB2312" w:cs="仿宋_GB2312"/>
          <w:sz w:val="28"/>
          <w:szCs w:val="28"/>
        </w:rPr>
        <w:t>国务院关于工人退休、退职的暂行办法</w:t>
      </w:r>
      <w:r>
        <w:rPr>
          <w:rFonts w:ascii="仿宋_GB2312" w:hAnsi="仿宋_GB2312" w:eastAsia="仿宋_GB2312" w:cs="仿宋_GB2312"/>
          <w:sz w:val="28"/>
          <w:szCs w:val="28"/>
        </w:rPr>
        <w:t>&gt;</w:t>
      </w:r>
      <w:r>
        <w:rPr>
          <w:rFonts w:hint="eastAsia" w:ascii="仿宋_GB2312" w:hAnsi="仿宋_GB2312" w:eastAsia="仿宋_GB2312" w:cs="仿宋_GB2312"/>
          <w:sz w:val="28"/>
          <w:szCs w:val="28"/>
        </w:rPr>
        <w:t>的通知》（国发〔</w:t>
      </w:r>
      <w:r>
        <w:rPr>
          <w:rFonts w:ascii="仿宋_GB2312" w:hAnsi="仿宋_GB2312" w:eastAsia="仿宋_GB2312" w:cs="仿宋_GB2312"/>
          <w:sz w:val="28"/>
          <w:szCs w:val="28"/>
        </w:rPr>
        <w:t>1978</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104</w:t>
      </w:r>
      <w:r>
        <w:rPr>
          <w:rFonts w:hint="eastAsia" w:ascii="仿宋_GB2312" w:hAnsi="仿宋_GB2312" w:eastAsia="仿宋_GB2312" w:cs="仿宋_GB2312"/>
          <w:sz w:val="28"/>
          <w:szCs w:val="28"/>
        </w:rPr>
        <w:t>号）、《湖南省人民政府关于完善企业职工基本养老保险制度的决定》（湘政发〔</w:t>
      </w:r>
      <w:r>
        <w:rPr>
          <w:rFonts w:ascii="仿宋_GB2312" w:hAnsi="仿宋_GB2312" w:eastAsia="仿宋_GB2312" w:cs="仿宋_GB2312"/>
          <w:sz w:val="28"/>
          <w:szCs w:val="28"/>
        </w:rPr>
        <w:t>2006</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号）、《湖南省关于完善企业职工基本养老保险制度若干政策问题的意见》（湘劳社政字〔</w:t>
      </w:r>
      <w:r>
        <w:rPr>
          <w:rFonts w:ascii="仿宋_GB2312" w:hAnsi="仿宋_GB2312" w:eastAsia="仿宋_GB2312" w:cs="仿宋_GB2312"/>
          <w:sz w:val="28"/>
          <w:szCs w:val="28"/>
        </w:rPr>
        <w:t>2006</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13</w:t>
      </w:r>
      <w:r>
        <w:rPr>
          <w:rFonts w:hint="eastAsia" w:ascii="仿宋_GB2312" w:hAnsi="仿宋_GB2312" w:eastAsia="仿宋_GB2312" w:cs="仿宋_GB2312"/>
          <w:sz w:val="28"/>
          <w:szCs w:val="28"/>
        </w:rPr>
        <w:t>号）、《湖南省关于改革企业职工基本养老金计发办法的实施意见》（湘劳社政字〔</w:t>
      </w:r>
      <w:r>
        <w:rPr>
          <w:rFonts w:ascii="仿宋_GB2312" w:hAnsi="仿宋_GB2312" w:eastAsia="仿宋_GB2312" w:cs="仿宋_GB2312"/>
          <w:sz w:val="28"/>
          <w:szCs w:val="28"/>
        </w:rPr>
        <w:t>2006</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号）、《湖南省人力资源和社会保障厅关于完善城镇企业职工基本养老保险参保人员退休审批工作的通知》（湘人社发〔</w:t>
      </w:r>
      <w:r>
        <w:rPr>
          <w:rFonts w:ascii="仿宋_GB2312" w:hAnsi="仿宋_GB2312" w:eastAsia="仿宋_GB2312" w:cs="仿宋_GB2312"/>
          <w:sz w:val="28"/>
          <w:szCs w:val="28"/>
        </w:rPr>
        <w:t>2015</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号）、《关于转发省厅</w:t>
      </w:r>
      <w:r>
        <w:rPr>
          <w:rFonts w:ascii="仿宋_GB2312" w:hAnsi="仿宋_GB2312" w:eastAsia="仿宋_GB2312" w:cs="仿宋_GB2312"/>
          <w:sz w:val="28"/>
          <w:szCs w:val="28"/>
        </w:rPr>
        <w:t>&lt;</w:t>
      </w:r>
      <w:r>
        <w:rPr>
          <w:rFonts w:hint="eastAsia" w:ascii="仿宋_GB2312" w:hAnsi="仿宋_GB2312" w:eastAsia="仿宋_GB2312" w:cs="仿宋_GB2312"/>
          <w:sz w:val="28"/>
          <w:szCs w:val="28"/>
        </w:rPr>
        <w:t>关于进一步规范提前退休审批工作的通知</w:t>
      </w:r>
      <w:r>
        <w:rPr>
          <w:rFonts w:ascii="仿宋_GB2312" w:hAnsi="仿宋_GB2312" w:eastAsia="仿宋_GB2312" w:cs="仿宋_GB2312"/>
          <w:sz w:val="28"/>
          <w:szCs w:val="28"/>
        </w:rPr>
        <w:t>&gt;</w:t>
      </w:r>
      <w:r>
        <w:rPr>
          <w:rFonts w:hint="eastAsia" w:ascii="仿宋_GB2312" w:hAnsi="仿宋_GB2312" w:eastAsia="仿宋_GB2312" w:cs="仿宋_GB2312"/>
          <w:sz w:val="28"/>
          <w:szCs w:val="28"/>
        </w:rPr>
        <w:t>等三个文件的通知》（长劳社发〔</w:t>
      </w:r>
      <w:r>
        <w:rPr>
          <w:rFonts w:ascii="仿宋_GB2312" w:hAnsi="仿宋_GB2312" w:eastAsia="仿宋_GB2312" w:cs="仿宋_GB2312"/>
          <w:sz w:val="28"/>
          <w:szCs w:val="28"/>
        </w:rPr>
        <w:t>2005</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45</w:t>
      </w:r>
      <w:r>
        <w:rPr>
          <w:rFonts w:hint="eastAsia" w:ascii="仿宋_GB2312" w:hAnsi="仿宋_GB2312" w:eastAsia="仿宋_GB2312" w:cs="仿宋_GB2312"/>
          <w:sz w:val="28"/>
          <w:szCs w:val="28"/>
        </w:rPr>
        <w:t>号）。</w:t>
      </w:r>
    </w:p>
    <w:p>
      <w:pPr>
        <w:spacing w:line="500" w:lineRule="exact"/>
        <w:rPr>
          <w:rFonts w:ascii="仿宋_GB2312" w:hAnsi="仿宋_GB2312" w:eastAsia="仿宋_GB2312" w:cs="Times New Roman"/>
          <w:sz w:val="28"/>
          <w:szCs w:val="28"/>
        </w:rPr>
      </w:pPr>
      <w:r>
        <w:rPr>
          <w:rFonts w:hint="eastAsia" w:ascii="仿宋_GB2312" w:hAnsi="仿宋_GB2312" w:eastAsia="仿宋_GB2312" w:cs="仿宋_GB2312"/>
          <w:b/>
          <w:bCs/>
          <w:sz w:val="28"/>
          <w:szCs w:val="28"/>
        </w:rPr>
        <w:t>五、法定期限：</w:t>
      </w:r>
      <w:r>
        <w:rPr>
          <w:rFonts w:hint="eastAsia" w:ascii="仿宋_GB2312" w:hAnsi="仿宋_GB2312" w:eastAsia="仿宋_GB2312" w:cs="仿宋_GB2312"/>
          <w:color w:val="000000"/>
          <w:sz w:val="28"/>
          <w:szCs w:val="28"/>
          <w:shd w:val="clear" w:color="auto" w:fill="FFFFFF"/>
        </w:rPr>
        <w:t>无</w:t>
      </w:r>
      <w:r>
        <w:rPr>
          <w:rFonts w:ascii="仿宋_GB2312" w:hAnsi="仿宋_GB2312" w:eastAsia="仿宋_GB2312" w:cs="仿宋_GB2312"/>
          <w:color w:val="000000"/>
          <w:sz w:val="28"/>
          <w:szCs w:val="28"/>
          <w:shd w:val="clear" w:color="auto" w:fill="FFFFFF"/>
        </w:rPr>
        <w:t xml:space="preserve"> </w:t>
      </w:r>
      <w:r>
        <w:rPr>
          <w:rFonts w:ascii="仿宋_GB2312" w:hAnsi="仿宋_GB2312" w:eastAsia="仿宋_GB2312" w:cs="仿宋_GB2312"/>
          <w:b/>
          <w:bCs/>
          <w:sz w:val="28"/>
          <w:szCs w:val="28"/>
        </w:rPr>
        <w:t xml:space="preserve"> </w:t>
      </w:r>
    </w:p>
    <w:p>
      <w:pPr>
        <w:spacing w:line="500" w:lineRule="exact"/>
        <w:rPr>
          <w:rFonts w:ascii="仿宋_GB2312" w:hAnsi="仿宋_GB2312" w:eastAsia="仿宋_GB2312" w:cs="Times New Roman"/>
          <w:sz w:val="28"/>
          <w:szCs w:val="28"/>
        </w:rPr>
      </w:pPr>
      <w:r>
        <w:rPr>
          <w:rFonts w:hint="eastAsia" w:ascii="仿宋_GB2312" w:hAnsi="仿宋_GB2312" w:eastAsia="仿宋_GB2312" w:cs="仿宋_GB2312"/>
          <w:b/>
          <w:bCs/>
          <w:sz w:val="28"/>
          <w:szCs w:val="28"/>
        </w:rPr>
        <w:t>六、承诺期限：</w:t>
      </w:r>
      <w:r>
        <w:rPr>
          <w:rFonts w:hint="eastAsia" w:ascii="仿宋_GB2312" w:hAnsi="仿宋_GB2312" w:eastAsia="仿宋_GB2312" w:cs="仿宋_GB2312"/>
          <w:color w:val="000000"/>
          <w:sz w:val="28"/>
          <w:szCs w:val="28"/>
          <w:shd w:val="clear" w:color="auto" w:fill="FFFFFF"/>
        </w:rPr>
        <w:t>即办</w:t>
      </w:r>
    </w:p>
    <w:p>
      <w:pPr>
        <w:spacing w:line="500" w:lineRule="exact"/>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七、办理条件：</w:t>
      </w:r>
    </w:p>
    <w:p>
      <w:pPr>
        <w:rPr>
          <w:rFonts w:ascii="仿宋_GB2312" w:hAnsi="仿宋_GB2312" w:eastAsia="仿宋_GB2312" w:cs="Times New Roman"/>
          <w:sz w:val="28"/>
          <w:szCs w:val="28"/>
        </w:rPr>
      </w:pPr>
      <w:r>
        <w:rPr>
          <w:rFonts w:hint="eastAsia" w:ascii="仿宋_GB2312" w:hAnsi="仿宋_GB2312" w:eastAsia="仿宋_GB2312" w:cs="仿宋_GB2312"/>
          <w:sz w:val="28"/>
          <w:szCs w:val="28"/>
        </w:rPr>
        <w:t>（一）达到法</w:t>
      </w:r>
      <w:r>
        <w:rPr>
          <w:rFonts w:hint="eastAsia" w:ascii="仿宋_GB2312" w:hAnsi="仿宋_GB2312" w:eastAsia="仿宋_GB2312" w:cs="仿宋_GB2312"/>
          <w:spacing w:val="-20"/>
          <w:sz w:val="28"/>
          <w:szCs w:val="28"/>
        </w:rPr>
        <w:t>定退休年龄，且累计缴费满十五年（含视同）</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 </w:t>
      </w:r>
    </w:p>
    <w:p>
      <w:pPr>
        <w:rPr>
          <w:rFonts w:ascii="仿宋_GB2312" w:hAnsi="仿宋_GB2312" w:eastAsia="仿宋_GB2312" w:cs="Times New Roman"/>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pacing w:val="-20"/>
          <w:sz w:val="28"/>
          <w:szCs w:val="28"/>
        </w:rPr>
        <w:t>申请退休时在单位正常参保的，所在单位已按有关规定进行公示后再申报；</w:t>
      </w:r>
    </w:p>
    <w:p>
      <w:pPr>
        <w:rPr>
          <w:rFonts w:ascii="仿宋_GB2312" w:hAnsi="仿宋_GB2312" w:eastAsia="仿宋_GB2312" w:cs="Times New Roman"/>
          <w:sz w:val="28"/>
          <w:szCs w:val="28"/>
        </w:rPr>
      </w:pPr>
      <w:r>
        <w:rPr>
          <w:rFonts w:hint="eastAsia" w:ascii="仿宋_GB2312" w:hAnsi="仿宋_GB2312" w:eastAsia="仿宋_GB2312" w:cs="仿宋_GB2312"/>
          <w:sz w:val="28"/>
          <w:szCs w:val="28"/>
        </w:rPr>
        <w:t>（三）达到法</w:t>
      </w:r>
      <w:r>
        <w:rPr>
          <w:rFonts w:hint="eastAsia" w:ascii="仿宋_GB2312" w:hAnsi="仿宋_GB2312" w:eastAsia="仿宋_GB2312" w:cs="仿宋_GB2312"/>
          <w:spacing w:val="-20"/>
          <w:sz w:val="28"/>
          <w:szCs w:val="28"/>
        </w:rPr>
        <w:t>定退休年龄的当月</w:t>
      </w:r>
      <w:r>
        <w:rPr>
          <w:rFonts w:hint="eastAsia" w:ascii="仿宋_GB2312" w:hAnsi="仿宋_GB2312" w:eastAsia="仿宋_GB2312" w:cs="仿宋_GB2312"/>
          <w:sz w:val="28"/>
          <w:szCs w:val="28"/>
        </w:rPr>
        <w:t>在市本级参加企业职工基本养老保险；（四）在本省实际缴费满十年或本省户口。</w:t>
      </w:r>
    </w:p>
    <w:p>
      <w:pPr>
        <w:spacing w:line="500" w:lineRule="exact"/>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八、申请材料：</w:t>
      </w:r>
    </w:p>
    <w:p>
      <w:pPr>
        <w:ind w:firstLine="548" w:firstLineChars="196"/>
        <w:rPr>
          <w:rFonts w:ascii="仿宋_GB2312" w:hAnsi="仿宋_GB2312" w:eastAsia="仿宋_GB2312" w:cs="Times New Roman"/>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《长沙市企业职工基本养老保险参保人员退休资格确认申请表》；</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参保人员身份证复印件一张；</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近期一寸彩照一张；</w:t>
      </w:r>
    </w:p>
    <w:p>
      <w:pPr>
        <w:ind w:firstLine="560" w:firstLineChars="200"/>
        <w:rPr>
          <w:rFonts w:ascii="仿宋_GB2312" w:hAnsi="仿宋_GB2312" w:eastAsia="仿宋_GB2312" w:cs="Times New Roman"/>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rPr>
        <w:t>参保人员人事档案（无“视同缴费年限”的可不提供）。</w:t>
      </w:r>
    </w:p>
    <w:p>
      <w:pPr>
        <w:ind w:firstLine="560" w:firstLineChars="200"/>
        <w:rPr>
          <w:rFonts w:ascii="仿宋_GB2312" w:hAnsi="仿宋_GB2312" w:eastAsia="仿宋_GB2312" w:cs="Times New Roman"/>
          <w:sz w:val="28"/>
          <w:szCs w:val="28"/>
        </w:rPr>
      </w:pPr>
      <w:r>
        <w:rPr>
          <w:rFonts w:hint="eastAsia" w:ascii="仿宋_GB2312" w:hAnsi="仿宋_GB2312" w:eastAsia="仿宋_GB2312" w:cs="仿宋_GB2312"/>
          <w:sz w:val="28"/>
          <w:szCs w:val="28"/>
        </w:rPr>
        <w:t>因人事档案不完整影响认定关键信息的应提供工作人员要求的其它合法有效材料。本省实际缴费不满十年的提供本省户口本原件及复印件</w:t>
      </w:r>
    </w:p>
    <w:p>
      <w:pPr>
        <w:spacing w:line="500" w:lineRule="exact"/>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九、办理程序：</w:t>
      </w:r>
    </w:p>
    <w:p>
      <w:pPr>
        <w:spacing w:line="500" w:lineRule="exact"/>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（一）受理</w:t>
      </w:r>
    </w:p>
    <w:p>
      <w:pPr>
        <w:spacing w:line="500" w:lineRule="exact"/>
        <w:rPr>
          <w:rFonts w:ascii="仿宋_GB2312" w:hAnsi="楷体_GB2312" w:eastAsia="仿宋_GB2312" w:cs="Times New Roman"/>
          <w:color w:val="000000"/>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、岗位责任人：</w:t>
      </w:r>
      <w:r>
        <w:rPr>
          <w:rFonts w:hint="eastAsia" w:ascii="仿宋_GB2312" w:hAnsi="楷体_GB2312" w:eastAsia="仿宋_GB2312" w:cs="仿宋_GB2312"/>
          <w:color w:val="000000"/>
          <w:sz w:val="28"/>
          <w:szCs w:val="28"/>
        </w:rPr>
        <w:t>长</w:t>
      </w:r>
      <w:r>
        <w:rPr>
          <w:rFonts w:hint="eastAsia" w:ascii="仿宋_GB2312" w:hAnsi="楷体_GB2312" w:eastAsia="仿宋_GB2312" w:cs="仿宋_GB2312"/>
          <w:color w:val="000000"/>
          <w:w w:val="90"/>
          <w:sz w:val="28"/>
          <w:szCs w:val="28"/>
        </w:rPr>
        <w:t>沙市社会保险服务中心企业退休资格确认工作人</w:t>
      </w:r>
      <w:r>
        <w:rPr>
          <w:rFonts w:hint="eastAsia" w:ascii="仿宋_GB2312" w:hAnsi="楷体_GB2312" w:eastAsia="仿宋_GB2312" w:cs="仿宋_GB2312"/>
          <w:color w:val="000000"/>
          <w:sz w:val="28"/>
          <w:szCs w:val="28"/>
        </w:rPr>
        <w:t>员。</w:t>
      </w:r>
    </w:p>
    <w:p>
      <w:pPr>
        <w:widowControl/>
        <w:spacing w:line="500" w:lineRule="exact"/>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、岗位职责与权限：</w:t>
      </w:r>
    </w:p>
    <w:p>
      <w:pPr>
        <w:widowControl/>
        <w:spacing w:line="500" w:lineRule="exact"/>
        <w:jc w:val="left"/>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w:t>
      </w:r>
      <w:r>
        <w:rPr>
          <w:rFonts w:hint="eastAsia" w:ascii="仿宋_GB2312" w:hAnsi="楷体_GB2312" w:eastAsia="仿宋_GB2312" w:cs="仿宋_GB2312"/>
          <w:color w:val="000000"/>
          <w:sz w:val="28"/>
          <w:szCs w:val="28"/>
        </w:rPr>
        <w:t>申请材料齐全、符合受理条件要求，予以受理；</w:t>
      </w:r>
    </w:p>
    <w:p>
      <w:pPr>
        <w:spacing w:line="500" w:lineRule="exact"/>
        <w:rPr>
          <w:rFonts w:ascii="仿宋_GB2312" w:hAnsi="楷体_GB2312" w:eastAsia="仿宋_GB2312" w:cs="Times New Roman"/>
          <w:color w:val="000000"/>
          <w:sz w:val="28"/>
          <w:szCs w:val="28"/>
        </w:rPr>
      </w:pP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w:t>
      </w:r>
      <w:r>
        <w:rPr>
          <w:rFonts w:hint="eastAsia" w:ascii="仿宋_GB2312" w:hAnsi="楷体_GB2312" w:eastAsia="仿宋_GB2312" w:cs="仿宋_GB2312"/>
          <w:color w:val="000000"/>
          <w:sz w:val="28"/>
          <w:szCs w:val="28"/>
        </w:rPr>
        <w:t>申请材料不齐全或者不符合政策规定的，当场一次性告知申请人需要补正的全部内容；做出不予受理申请决定的，告知不予受理的理由。</w:t>
      </w:r>
    </w:p>
    <w:p>
      <w:pPr>
        <w:spacing w:line="500" w:lineRule="exact"/>
        <w:rPr>
          <w:rFonts w:ascii="仿宋_GB2312" w:hAnsi="仿宋_GB2312" w:eastAsia="仿宋_GB2312" w:cs="Times New Roman"/>
          <w:color w:val="000000"/>
          <w:sz w:val="28"/>
          <w:szCs w:val="28"/>
          <w:shd w:val="clear" w:color="auto" w:fill="FFFFFF"/>
        </w:rPr>
      </w:pPr>
      <w:r>
        <w:rPr>
          <w:rFonts w:ascii="仿宋_GB2312" w:hAnsi="仿宋_GB2312" w:eastAsia="仿宋_GB2312" w:cs="仿宋_GB2312"/>
          <w:color w:val="000000"/>
          <w:sz w:val="28"/>
          <w:szCs w:val="28"/>
          <w:shd w:val="clear" w:color="auto" w:fill="FFFFFF"/>
        </w:rPr>
        <w:t>3</w:t>
      </w:r>
      <w:r>
        <w:rPr>
          <w:rFonts w:hint="eastAsia" w:ascii="仿宋_GB2312" w:hAnsi="仿宋_GB2312" w:eastAsia="仿宋_GB2312" w:cs="仿宋_GB2312"/>
          <w:color w:val="000000"/>
          <w:sz w:val="28"/>
          <w:szCs w:val="28"/>
          <w:shd w:val="clear" w:color="auto" w:fill="FFFFFF"/>
        </w:rPr>
        <w:t>、时限：即办</w:t>
      </w:r>
    </w:p>
    <w:p>
      <w:pPr>
        <w:spacing w:line="500" w:lineRule="exact"/>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（二）初审</w:t>
      </w:r>
    </w:p>
    <w:p>
      <w:pPr>
        <w:spacing w:line="500" w:lineRule="exact"/>
        <w:rPr>
          <w:rFonts w:ascii="仿宋_GB2312" w:hAnsi="楷体_GB2312" w:eastAsia="仿宋_GB2312" w:cs="Times New Roman"/>
          <w:color w:val="000000"/>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、岗位责任人：</w:t>
      </w:r>
      <w:r>
        <w:rPr>
          <w:rFonts w:hint="eastAsia" w:ascii="仿宋_GB2312" w:hAnsi="楷体_GB2312" w:eastAsia="仿宋_GB2312" w:cs="仿宋_GB2312"/>
          <w:color w:val="000000"/>
          <w:sz w:val="28"/>
          <w:szCs w:val="28"/>
        </w:rPr>
        <w:t>长</w:t>
      </w:r>
      <w:r>
        <w:rPr>
          <w:rFonts w:hint="eastAsia" w:ascii="仿宋_GB2312" w:hAnsi="楷体_GB2312" w:eastAsia="仿宋_GB2312" w:cs="仿宋_GB2312"/>
          <w:color w:val="000000"/>
          <w:w w:val="90"/>
          <w:sz w:val="28"/>
          <w:szCs w:val="28"/>
        </w:rPr>
        <w:t>沙市社会保险服务中心企业退休资格确认工作人</w:t>
      </w:r>
      <w:r>
        <w:rPr>
          <w:rFonts w:hint="eastAsia" w:ascii="仿宋_GB2312" w:hAnsi="楷体_GB2312" w:eastAsia="仿宋_GB2312" w:cs="仿宋_GB2312"/>
          <w:color w:val="000000"/>
          <w:sz w:val="28"/>
          <w:szCs w:val="28"/>
        </w:rPr>
        <w:t>员。</w:t>
      </w:r>
    </w:p>
    <w:p>
      <w:pPr>
        <w:widowControl/>
        <w:spacing w:line="500" w:lineRule="exact"/>
        <w:jc w:val="lef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、岗位职责与权限：</w:t>
      </w:r>
    </w:p>
    <w:p>
      <w:pPr>
        <w:spacing w:line="500" w:lineRule="exact"/>
        <w:rPr>
          <w:rFonts w:ascii="仿宋_GB2312" w:hAnsi="仿宋_GB2312" w:eastAsia="仿宋_GB2312" w:cs="Times New Roman"/>
          <w:sz w:val="28"/>
          <w:szCs w:val="28"/>
        </w:rPr>
      </w:pP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）依据</w:t>
      </w:r>
      <w:r>
        <w:rPr>
          <w:rFonts w:hint="eastAsia" w:ascii="仿宋_GB2312" w:hAnsi="仿宋_GB2312" w:eastAsia="仿宋_GB2312" w:cs="仿宋_GB2312"/>
          <w:sz w:val="28"/>
          <w:szCs w:val="28"/>
        </w:rPr>
        <w:t>相关文件规定，</w:t>
      </w:r>
      <w:r>
        <w:rPr>
          <w:rFonts w:hint="eastAsia" w:ascii="仿宋_GB2312" w:hAnsi="仿宋_GB2312" w:eastAsia="仿宋_GB2312" w:cs="仿宋_GB2312"/>
          <w:kern w:val="0"/>
          <w:sz w:val="28"/>
          <w:szCs w:val="28"/>
        </w:rPr>
        <w:t>对申请材料进行审核；</w:t>
      </w:r>
    </w:p>
    <w:p>
      <w:pPr>
        <w:spacing w:line="500" w:lineRule="exact"/>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）对符合条件的，依据申请人申请，认定其出生年月、视同缴费年限等关键信息，办理</w:t>
      </w:r>
      <w:r>
        <w:rPr>
          <w:rFonts w:hint="eastAsia" w:ascii="仿宋_GB2312" w:hAnsi="仿宋_GB2312" w:eastAsia="仿宋_GB2312" w:cs="仿宋_GB2312"/>
          <w:sz w:val="28"/>
          <w:szCs w:val="28"/>
        </w:rPr>
        <w:t>退休资格确认</w:t>
      </w:r>
      <w:r>
        <w:rPr>
          <w:rFonts w:hint="eastAsia" w:ascii="仿宋_GB2312" w:hAnsi="仿宋_GB2312" w:eastAsia="仿宋_GB2312" w:cs="仿宋_GB2312"/>
          <w:kern w:val="0"/>
          <w:sz w:val="28"/>
          <w:szCs w:val="28"/>
        </w:rPr>
        <w:t>。</w:t>
      </w:r>
    </w:p>
    <w:p>
      <w:pPr>
        <w:spacing w:line="500" w:lineRule="exact"/>
        <w:rPr>
          <w:rFonts w:ascii="仿宋_GB2312" w:hAnsi="楷体_GB2312" w:eastAsia="仿宋_GB2312" w:cs="Times New Roman"/>
          <w:color w:val="000000"/>
          <w:sz w:val="28"/>
          <w:szCs w:val="28"/>
        </w:rPr>
      </w:pPr>
      <w:r>
        <w:rPr>
          <w:rFonts w:ascii="仿宋_GB2312" w:hAnsi="楷体_GB2312" w:eastAsia="仿宋_GB2312" w:cs="仿宋_GB2312"/>
          <w:color w:val="000000"/>
          <w:sz w:val="28"/>
          <w:szCs w:val="28"/>
        </w:rPr>
        <w:t>3</w:t>
      </w:r>
      <w:r>
        <w:rPr>
          <w:rFonts w:hint="eastAsia" w:ascii="仿宋_GB2312" w:hAnsi="楷体_GB2312" w:eastAsia="仿宋_GB2312" w:cs="仿宋_GB2312"/>
          <w:color w:val="000000"/>
          <w:sz w:val="28"/>
          <w:szCs w:val="28"/>
        </w:rPr>
        <w:t>、时限：即办</w:t>
      </w:r>
    </w:p>
    <w:p>
      <w:pPr>
        <w:spacing w:line="500" w:lineRule="exact"/>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（三）复审</w:t>
      </w:r>
    </w:p>
    <w:p>
      <w:pPr>
        <w:spacing w:line="500" w:lineRule="exact"/>
        <w:rPr>
          <w:rFonts w:ascii="仿宋_GB2312" w:hAnsi="楷体_GB2312" w:eastAsia="仿宋_GB2312" w:cs="Times New Roman"/>
          <w:color w:val="000000"/>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、岗位责任人：</w:t>
      </w:r>
      <w:r>
        <w:rPr>
          <w:rFonts w:hint="eastAsia" w:ascii="仿宋_GB2312" w:hAnsi="楷体_GB2312" w:eastAsia="仿宋_GB2312" w:cs="仿宋_GB2312"/>
          <w:color w:val="000000"/>
          <w:sz w:val="28"/>
          <w:szCs w:val="28"/>
        </w:rPr>
        <w:t>长</w:t>
      </w:r>
      <w:r>
        <w:rPr>
          <w:rFonts w:hint="eastAsia" w:ascii="仿宋_GB2312" w:hAnsi="楷体_GB2312" w:eastAsia="仿宋_GB2312" w:cs="仿宋_GB2312"/>
          <w:color w:val="000000"/>
          <w:w w:val="90"/>
          <w:sz w:val="28"/>
          <w:szCs w:val="28"/>
        </w:rPr>
        <w:t>沙市社会保险服务中心企业退休资格确认工作人</w:t>
      </w:r>
      <w:r>
        <w:rPr>
          <w:rFonts w:hint="eastAsia" w:ascii="仿宋_GB2312" w:hAnsi="楷体_GB2312" w:eastAsia="仿宋_GB2312" w:cs="仿宋_GB2312"/>
          <w:color w:val="000000"/>
          <w:sz w:val="28"/>
          <w:szCs w:val="28"/>
        </w:rPr>
        <w:t>员。</w:t>
      </w:r>
    </w:p>
    <w:p>
      <w:pPr>
        <w:spacing w:line="500" w:lineRule="exact"/>
        <w:rPr>
          <w:rFonts w:ascii="仿宋_GB2312" w:hAnsi="仿宋_GB2312" w:eastAsia="仿宋_GB2312" w:cs="Times New Roman"/>
          <w:kern w:val="0"/>
          <w:sz w:val="28"/>
          <w:szCs w:val="28"/>
        </w:rPr>
      </w:pP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、岗位职责与权限：</w:t>
      </w:r>
    </w:p>
    <w:p>
      <w:pPr>
        <w:spacing w:line="500" w:lineRule="exact"/>
        <w:rPr>
          <w:rFonts w:ascii="仿宋_GB2312" w:hAnsi="仿宋_GB2312" w:eastAsia="仿宋_GB2312" w:cs="Times New Roman"/>
          <w:kern w:val="0"/>
          <w:sz w:val="28"/>
          <w:szCs w:val="28"/>
        </w:rPr>
      </w:pP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1</w:t>
      </w:r>
      <w:r>
        <w:rPr>
          <w:rFonts w:hint="eastAsia" w:ascii="仿宋_GB2312" w:hAnsi="仿宋_GB2312" w:eastAsia="仿宋_GB2312" w:cs="仿宋_GB2312"/>
          <w:kern w:val="0"/>
          <w:sz w:val="28"/>
          <w:szCs w:val="28"/>
        </w:rPr>
        <w:t>）符合条件的，审核通过，出具《</w:t>
      </w:r>
      <w:r>
        <w:rPr>
          <w:rFonts w:hint="eastAsia" w:ascii="仿宋_GB2312" w:hAnsi="仿宋_GB2312" w:eastAsia="仿宋_GB2312" w:cs="仿宋_GB2312"/>
          <w:sz w:val="28"/>
          <w:szCs w:val="28"/>
        </w:rPr>
        <w:t>长沙市企业职工基本养老保险参保人员退休资格确认表</w:t>
      </w:r>
      <w:r>
        <w:rPr>
          <w:rFonts w:hint="eastAsia" w:ascii="仿宋_GB2312" w:hAnsi="仿宋_GB2312" w:eastAsia="仿宋_GB2312" w:cs="仿宋_GB2312"/>
          <w:kern w:val="0"/>
          <w:sz w:val="28"/>
          <w:szCs w:val="28"/>
        </w:rPr>
        <w:t>》，退还人事档案等材料原件；</w:t>
      </w:r>
    </w:p>
    <w:p>
      <w:pPr>
        <w:spacing w:line="500" w:lineRule="exact"/>
        <w:rPr>
          <w:rFonts w:ascii="仿宋_GB2312" w:hAnsi="仿宋_GB2312" w:eastAsia="仿宋_GB2312" w:cs="Times New Roman"/>
          <w:sz w:val="28"/>
          <w:szCs w:val="28"/>
        </w:rPr>
      </w:pPr>
      <w:r>
        <w:rPr>
          <w:rFonts w:hint="eastAsia" w:ascii="仿宋_GB2312" w:hAnsi="仿宋_GB2312" w:eastAsia="仿宋_GB2312" w:cs="仿宋_GB2312"/>
          <w:kern w:val="0"/>
          <w:sz w:val="28"/>
          <w:szCs w:val="28"/>
        </w:rPr>
        <w:t>（</w:t>
      </w:r>
      <w:r>
        <w:rPr>
          <w:rFonts w:ascii="仿宋_GB2312" w:hAnsi="仿宋_GB2312" w:eastAsia="仿宋_GB2312" w:cs="仿宋_GB2312"/>
          <w:kern w:val="0"/>
          <w:sz w:val="28"/>
          <w:szCs w:val="28"/>
        </w:rPr>
        <w:t>2</w:t>
      </w:r>
      <w:r>
        <w:rPr>
          <w:rFonts w:hint="eastAsia" w:ascii="仿宋_GB2312" w:hAnsi="仿宋_GB2312" w:eastAsia="仿宋_GB2312" w:cs="仿宋_GB2312"/>
          <w:kern w:val="0"/>
          <w:sz w:val="28"/>
          <w:szCs w:val="28"/>
        </w:rPr>
        <w:t>）不符合条件的，审核不通过，并说明理由，退还人事档案等材料原件。</w:t>
      </w:r>
    </w:p>
    <w:p>
      <w:pPr>
        <w:spacing w:line="500" w:lineRule="exact"/>
        <w:rPr>
          <w:rFonts w:ascii="仿宋_GB2312" w:hAnsi="仿宋_GB2312" w:eastAsia="仿宋_GB2312" w:cs="Times New Roman"/>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、时限：即办</w:t>
      </w:r>
    </w:p>
    <w:p>
      <w:pPr>
        <w:spacing w:line="500" w:lineRule="exact"/>
        <w:rPr>
          <w:rFonts w:ascii="仿宋_GB2312" w:hAnsi="仿宋_GB2312" w:eastAsia="仿宋_GB2312" w:cs="Times New Roman"/>
          <w:sz w:val="28"/>
          <w:szCs w:val="28"/>
        </w:rPr>
      </w:pPr>
      <w:r>
        <w:rPr>
          <w:rFonts w:hint="eastAsia" w:ascii="仿宋_GB2312" w:hAnsi="仿宋_GB2312" w:eastAsia="仿宋_GB2312" w:cs="仿宋_GB2312"/>
          <w:b/>
          <w:bCs/>
          <w:sz w:val="28"/>
          <w:szCs w:val="28"/>
        </w:rPr>
        <w:t>十、是否收费：</w:t>
      </w:r>
      <w:r>
        <w:rPr>
          <w:rFonts w:hint="eastAsia" w:ascii="仿宋_GB2312" w:hAnsi="仿宋_GB2312" w:eastAsia="仿宋_GB2312" w:cs="仿宋_GB2312"/>
          <w:sz w:val="28"/>
          <w:szCs w:val="28"/>
        </w:rPr>
        <w:t>否</w:t>
      </w:r>
    </w:p>
    <w:p>
      <w:pPr>
        <w:spacing w:line="500" w:lineRule="exact"/>
        <w:rPr>
          <w:rFonts w:ascii="仿宋_GB2312" w:hAnsi="仿宋_GB2312" w:eastAsia="仿宋_GB2312" w:cs="Times New Roman"/>
          <w:sz w:val="28"/>
          <w:szCs w:val="28"/>
        </w:rPr>
      </w:pPr>
      <w:r>
        <w:rPr>
          <w:rFonts w:hint="eastAsia" w:ascii="仿宋_GB2312" w:hAnsi="仿宋_GB2312" w:eastAsia="仿宋_GB2312" w:cs="仿宋_GB2312"/>
          <w:b/>
          <w:bCs/>
          <w:sz w:val="28"/>
          <w:szCs w:val="28"/>
        </w:rPr>
        <w:t>十一、收费依据：</w:t>
      </w:r>
      <w:r>
        <w:rPr>
          <w:rFonts w:hint="eastAsia" w:ascii="仿宋_GB2312" w:hAnsi="仿宋_GB2312" w:eastAsia="仿宋_GB2312" w:cs="仿宋_GB2312"/>
          <w:color w:val="000000"/>
          <w:kern w:val="0"/>
          <w:sz w:val="28"/>
          <w:szCs w:val="28"/>
        </w:rPr>
        <w:t>无</w:t>
      </w:r>
    </w:p>
    <w:p>
      <w:pPr>
        <w:spacing w:line="500" w:lineRule="exact"/>
        <w:rPr>
          <w:rFonts w:ascii="仿宋_GB2312" w:hAnsi="仿宋_GB2312" w:eastAsia="仿宋_GB2312" w:cs="Times New Roman"/>
          <w:sz w:val="28"/>
          <w:szCs w:val="28"/>
        </w:rPr>
      </w:pPr>
      <w:r>
        <w:rPr>
          <w:rFonts w:hint="eastAsia" w:ascii="仿宋_GB2312" w:hAnsi="仿宋_GB2312" w:eastAsia="仿宋_GB2312" w:cs="仿宋_GB2312"/>
          <w:b/>
          <w:bCs/>
          <w:sz w:val="28"/>
          <w:szCs w:val="28"/>
        </w:rPr>
        <w:t>十二、收费标准：</w:t>
      </w:r>
      <w:r>
        <w:rPr>
          <w:rFonts w:hint="eastAsia" w:ascii="仿宋_GB2312" w:hAnsi="仿宋_GB2312" w:eastAsia="仿宋_GB2312" w:cs="仿宋_GB2312"/>
          <w:sz w:val="28"/>
          <w:szCs w:val="28"/>
        </w:rPr>
        <w:t>无</w:t>
      </w:r>
    </w:p>
    <w:p>
      <w:pPr>
        <w:spacing w:line="500" w:lineRule="exact"/>
        <w:rPr>
          <w:rFonts w:ascii="仿宋_GB2312" w:hAnsi="楷体_GB2312" w:eastAsia="仿宋_GB2312" w:cs="Times New Roman"/>
          <w:sz w:val="28"/>
          <w:szCs w:val="28"/>
        </w:rPr>
      </w:pPr>
      <w:r>
        <w:rPr>
          <w:rFonts w:hint="eastAsia" w:ascii="仿宋_GB2312" w:hAnsi="仿宋_GB2312" w:eastAsia="仿宋_GB2312" w:cs="仿宋_GB2312"/>
          <w:b/>
          <w:bCs/>
          <w:sz w:val="28"/>
          <w:szCs w:val="28"/>
        </w:rPr>
        <w:t>十三、申请地点：</w:t>
      </w:r>
      <w:r>
        <w:rPr>
          <w:rFonts w:hint="eastAsia" w:ascii="仿宋_GB2312" w:hAnsi="楷体_GB2312" w:eastAsia="仿宋_GB2312" w:cs="仿宋_GB2312"/>
          <w:sz w:val="28"/>
          <w:szCs w:val="28"/>
        </w:rPr>
        <w:t>湖南省长沙市岳麓区金星北路一段</w:t>
      </w:r>
      <w:r>
        <w:rPr>
          <w:rFonts w:ascii="仿宋_GB2312" w:hAnsi="楷体_GB2312" w:eastAsia="仿宋_GB2312" w:cs="仿宋_GB2312"/>
          <w:sz w:val="28"/>
          <w:szCs w:val="28"/>
        </w:rPr>
        <w:t>20</w:t>
      </w:r>
      <w:r>
        <w:rPr>
          <w:rFonts w:hint="eastAsia" w:ascii="仿宋_GB2312" w:hAnsi="楷体_GB2312" w:eastAsia="仿宋_GB2312" w:cs="仿宋_GB2312"/>
          <w:sz w:val="28"/>
          <w:szCs w:val="28"/>
        </w:rPr>
        <w:t>号长沙市政务服务中心一楼</w:t>
      </w:r>
      <w:r>
        <w:rPr>
          <w:rFonts w:ascii="仿宋_GB2312" w:hAnsi="楷体_GB2312" w:eastAsia="仿宋_GB2312" w:cs="仿宋_GB2312"/>
          <w:sz w:val="28"/>
          <w:szCs w:val="28"/>
        </w:rPr>
        <w:t>A</w:t>
      </w:r>
      <w:r>
        <w:rPr>
          <w:rFonts w:hint="eastAsia" w:ascii="仿宋_GB2312" w:hAnsi="楷体_GB2312" w:eastAsia="仿宋_GB2312" w:cs="仿宋_GB2312"/>
          <w:sz w:val="28"/>
          <w:szCs w:val="28"/>
        </w:rPr>
        <w:t>区</w:t>
      </w:r>
      <w:r>
        <w:rPr>
          <w:rFonts w:ascii="仿宋_GB2312" w:hAnsi="楷体_GB2312" w:eastAsia="仿宋_GB2312" w:cs="仿宋_GB2312"/>
          <w:sz w:val="28"/>
          <w:szCs w:val="28"/>
        </w:rPr>
        <w:t>38</w:t>
      </w:r>
      <w:r>
        <w:rPr>
          <w:rFonts w:hint="eastAsia" w:ascii="仿宋_GB2312" w:hAnsi="楷体_GB2312" w:eastAsia="仿宋_GB2312" w:cs="仿宋_GB2312"/>
          <w:sz w:val="28"/>
          <w:szCs w:val="28"/>
        </w:rPr>
        <w:t>号窗口、湖南省长沙市芙蓉区芙蓉中路一段</w:t>
      </w:r>
      <w:r>
        <w:rPr>
          <w:rFonts w:ascii="仿宋_GB2312" w:hAnsi="楷体_GB2312" w:eastAsia="仿宋_GB2312" w:cs="仿宋_GB2312"/>
          <w:sz w:val="28"/>
          <w:szCs w:val="28"/>
        </w:rPr>
        <w:t>669</w:t>
      </w:r>
      <w:r>
        <w:rPr>
          <w:rFonts w:hint="eastAsia" w:ascii="仿宋_GB2312" w:hAnsi="楷体_GB2312" w:eastAsia="仿宋_GB2312" w:cs="仿宋_GB2312"/>
          <w:sz w:val="28"/>
          <w:szCs w:val="28"/>
        </w:rPr>
        <w:t>号长沙市人力资源和社会保障局二楼政务中心</w:t>
      </w:r>
      <w:r>
        <w:rPr>
          <w:rFonts w:ascii="仿宋_GB2312" w:hAnsi="楷体_GB2312" w:eastAsia="仿宋_GB2312" w:cs="仿宋_GB2312"/>
          <w:sz w:val="28"/>
          <w:szCs w:val="28"/>
        </w:rPr>
        <w:t xml:space="preserve"> 202</w:t>
      </w:r>
      <w:r>
        <w:rPr>
          <w:rFonts w:hint="eastAsia" w:ascii="仿宋_GB2312" w:hAnsi="楷体_GB2312" w:eastAsia="仿宋_GB2312" w:cs="仿宋_GB2312"/>
          <w:sz w:val="28"/>
          <w:szCs w:val="28"/>
        </w:rPr>
        <w:t>窗口</w:t>
      </w:r>
    </w:p>
    <w:p>
      <w:pPr>
        <w:spacing w:line="500" w:lineRule="exact"/>
        <w:rPr>
          <w:rFonts w:ascii="仿宋_GB2312" w:hAnsi="仿宋_GB2312" w:eastAsia="仿宋_GB2312" w:cs="Times New Roman"/>
          <w:sz w:val="28"/>
          <w:szCs w:val="28"/>
        </w:rPr>
      </w:pPr>
      <w:r>
        <w:rPr>
          <w:rFonts w:hint="eastAsia" w:ascii="仿宋_GB2312" w:hAnsi="仿宋_GB2312" w:eastAsia="仿宋_GB2312" w:cs="仿宋_GB2312"/>
          <w:b/>
          <w:bCs/>
          <w:sz w:val="28"/>
          <w:szCs w:val="28"/>
        </w:rPr>
        <w:t>十四、咨询电话：</w:t>
      </w:r>
      <w:r>
        <w:rPr>
          <w:rFonts w:ascii="仿宋_GB2312" w:hAnsi="仿宋_GB2312" w:eastAsia="仿宋_GB2312" w:cs="仿宋_GB2312"/>
          <w:sz w:val="28"/>
          <w:szCs w:val="28"/>
        </w:rPr>
        <w:t>0731-</w:t>
      </w:r>
      <w:r>
        <w:rPr>
          <w:rFonts w:hint="eastAsia" w:ascii="仿宋_GB2312" w:hAnsi="仿宋_GB2312" w:eastAsia="仿宋_GB2312" w:cs="仿宋_GB2312"/>
          <w:sz w:val="28"/>
          <w:szCs w:val="28"/>
          <w:lang w:val="en-US" w:eastAsia="zh-CN"/>
        </w:rPr>
        <w:t>84907509</w:t>
      </w:r>
      <w:bookmarkStart w:id="0" w:name="_GoBack"/>
      <w:bookmarkEnd w:id="0"/>
      <w:r>
        <w:rPr>
          <w:rFonts w:ascii="仿宋_GB2312" w:hAnsi="仿宋_GB2312" w:eastAsia="仿宋_GB2312" w:cs="仿宋_GB2312"/>
          <w:sz w:val="28"/>
          <w:szCs w:val="28"/>
        </w:rPr>
        <w:t xml:space="preserve">  </w:t>
      </w:r>
    </w:p>
    <w:p>
      <w:pPr>
        <w:spacing w:line="50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十五、投诉电话：</w:t>
      </w:r>
      <w:r>
        <w:rPr>
          <w:rFonts w:ascii="仿宋_GB2312" w:hAnsi="仿宋_GB2312" w:eastAsia="仿宋_GB2312" w:cs="仿宋_GB2312"/>
          <w:sz w:val="28"/>
          <w:szCs w:val="28"/>
        </w:rPr>
        <w:t>0731</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84907966</w:t>
      </w:r>
    </w:p>
    <w:p>
      <w:pPr>
        <w:spacing w:line="500" w:lineRule="exact"/>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rPr>
        <w:t>十六、经办流程图：</w:t>
      </w:r>
    </w:p>
    <w:p>
      <w:pPr>
        <w:spacing w:line="500" w:lineRule="exact"/>
        <w:rPr>
          <w:rFonts w:ascii="仿宋_GB2312" w:hAnsi="仿宋_GB2312" w:eastAsia="仿宋_GB2312" w:cs="Times New Roman"/>
          <w:b/>
          <w:bCs/>
          <w:sz w:val="28"/>
          <w:szCs w:val="28"/>
        </w:rPr>
      </w:pPr>
    </w:p>
    <w:p>
      <w:pPr>
        <w:spacing w:line="500" w:lineRule="exact"/>
        <w:rPr>
          <w:rFonts w:ascii="仿宋_GB2312" w:hAnsi="仿宋_GB2312" w:eastAsia="仿宋_GB2312" w:cs="Times New Roman"/>
          <w:b/>
          <w:bCs/>
          <w:sz w:val="28"/>
          <w:szCs w:val="28"/>
        </w:rPr>
      </w:pPr>
    </w:p>
    <w:p>
      <w:pPr>
        <w:spacing w:line="500" w:lineRule="exact"/>
        <w:rPr>
          <w:rFonts w:ascii="仿宋_GB2312" w:hAnsi="仿宋_GB2312" w:eastAsia="仿宋_GB2312" w:cs="Times New Roman"/>
          <w:b/>
          <w:bCs/>
          <w:sz w:val="28"/>
          <w:szCs w:val="28"/>
        </w:rPr>
      </w:pPr>
    </w:p>
    <w:p>
      <w:pPr>
        <w:spacing w:line="500" w:lineRule="exact"/>
        <w:rPr>
          <w:rFonts w:ascii="仿宋_GB2312" w:hAnsi="仿宋_GB2312" w:eastAsia="仿宋_GB2312" w:cs="Times New Roman"/>
          <w:b/>
          <w:bCs/>
          <w:sz w:val="28"/>
          <w:szCs w:val="28"/>
        </w:rPr>
      </w:pPr>
    </w:p>
    <w:p>
      <w:pPr>
        <w:spacing w:line="500" w:lineRule="exact"/>
        <w:rPr>
          <w:rFonts w:ascii="仿宋_GB2312" w:hAnsi="仿宋_GB2312" w:eastAsia="仿宋_GB2312" w:cs="Times New Roman"/>
          <w:b/>
          <w:bCs/>
          <w:sz w:val="28"/>
          <w:szCs w:val="28"/>
        </w:rPr>
      </w:pPr>
    </w:p>
    <w:p>
      <w:pPr>
        <w:spacing w:line="500" w:lineRule="exact"/>
        <w:rPr>
          <w:rFonts w:ascii="仿宋_GB2312" w:hAnsi="仿宋_GB2312" w:eastAsia="仿宋_GB2312" w:cs="Times New Roman"/>
          <w:b/>
          <w:bCs/>
          <w:sz w:val="28"/>
          <w:szCs w:val="28"/>
        </w:rPr>
      </w:pPr>
    </w:p>
    <w:p>
      <w:pPr>
        <w:spacing w:line="500" w:lineRule="exact"/>
        <w:rPr>
          <w:rFonts w:ascii="仿宋_GB2312" w:hAnsi="仿宋_GB2312" w:eastAsia="仿宋_GB2312" w:cs="Times New Roman"/>
          <w:b/>
          <w:bCs/>
          <w:sz w:val="28"/>
          <w:szCs w:val="28"/>
        </w:rPr>
      </w:pPr>
    </w:p>
    <w:p>
      <w:pPr>
        <w:spacing w:line="500" w:lineRule="exact"/>
        <w:rPr>
          <w:rFonts w:ascii="仿宋_GB2312" w:hAnsi="仿宋_GB2312" w:eastAsia="仿宋_GB2312" w:cs="Times New Roman"/>
          <w:b/>
          <w:bCs/>
          <w:sz w:val="28"/>
          <w:szCs w:val="28"/>
        </w:rPr>
      </w:pPr>
    </w:p>
    <w:p>
      <w:pPr>
        <w:spacing w:line="500" w:lineRule="exact"/>
        <w:rPr>
          <w:rFonts w:ascii="仿宋_GB2312" w:hAnsi="仿宋_GB2312" w:eastAsia="仿宋_GB2312" w:cs="Times New Roman"/>
          <w:b/>
          <w:bCs/>
          <w:sz w:val="28"/>
          <w:szCs w:val="28"/>
        </w:rPr>
      </w:pPr>
    </w:p>
    <w:p>
      <w:pPr>
        <w:spacing w:line="500" w:lineRule="exact"/>
        <w:rPr>
          <w:rFonts w:ascii="仿宋_GB2312" w:hAnsi="仿宋_GB2312" w:eastAsia="仿宋_GB2312" w:cs="Times New Roman"/>
          <w:b/>
          <w:bCs/>
          <w:sz w:val="28"/>
          <w:szCs w:val="28"/>
        </w:rPr>
      </w:pPr>
    </w:p>
    <w:p>
      <w:pPr>
        <w:spacing w:line="500" w:lineRule="exact"/>
        <w:rPr>
          <w:rFonts w:ascii="仿宋_GB2312" w:hAnsi="仿宋_GB2312" w:eastAsia="仿宋_GB2312" w:cs="Times New Roman"/>
          <w:b/>
          <w:bCs/>
          <w:sz w:val="28"/>
          <w:szCs w:val="28"/>
        </w:rPr>
      </w:pPr>
    </w:p>
    <w:p>
      <w:pPr>
        <w:spacing w:line="500" w:lineRule="exact"/>
        <w:rPr>
          <w:rFonts w:ascii="仿宋_GB2312" w:hAnsi="仿宋_GB2312" w:eastAsia="仿宋_GB2312" w:cs="Times New Roman"/>
          <w:b/>
          <w:bCs/>
          <w:sz w:val="28"/>
          <w:szCs w:val="28"/>
        </w:rPr>
      </w:pPr>
    </w:p>
    <w:p>
      <w:pPr>
        <w:widowControl/>
        <w:rPr>
          <w:rFonts w:cs="Times New Roman"/>
        </w:rPr>
      </w:pPr>
      <w:r>
        <w:pict>
          <v:shape id="_x0000_s1026" o:spid="_x0000_s1026" o:spt="32" type="#_x0000_t32" style="position:absolute;left:0pt;margin-left:135.4pt;margin-top:148.25pt;height:24.9pt;width:0.5pt;z-index:251670528;mso-width-relative:page;mso-height-relative:page;" filled="f" coordsize="21600,21600">
            <v:path arrowok="t"/>
            <v:fill on="f" focussize="0,0"/>
            <v:stroke endarrow="open"/>
            <v:imagedata o:title=""/>
            <o:lock v:ext="edit"/>
          </v:shape>
        </w:pict>
      </w:r>
      <w:r>
        <w:pict>
          <v:shape id="_x0000_s1027" o:spid="_x0000_s1027" o:spt="32" type="#_x0000_t32" style="position:absolute;left:0pt;margin-left:204.65pt;margin-top:110.55pt;height:0.65pt;width:104pt;z-index:251670528;mso-width-relative:page;mso-height-relative:page;" filled="f" coordsize="21600,21600">
            <v:path arrowok="t"/>
            <v:fill on="f" focussize="0,0"/>
            <v:stroke endarrow="open"/>
            <v:imagedata o:title=""/>
            <o:lock v:ext="edit"/>
          </v:shape>
        </w:pict>
      </w:r>
      <w:r>
        <w:pict>
          <v:shape id="_x0000_s1028" o:spid="_x0000_s1028" o:spt="110" type="#_x0000_t110" style="position:absolute;left:0pt;margin-left:63.4pt;margin-top:72.2pt;height:76.7pt;width:141.25pt;z-index:251661312;v-text-anchor:middle;mso-width-relative:page;mso-height-relative:page;" coordsize="21600,21600">
            <v:path/>
            <v:fill focussize="0,0"/>
            <v:stroke weight="2pt" joinstyle="round"/>
            <v:imagedata o:title=""/>
            <o:lock v:ext="edit"/>
            <v:textbox>
              <w:txbxContent>
                <w:p>
                  <w:pPr>
                    <w:jc w:val="center"/>
                    <w:rPr>
                      <w:rFonts w:cs="Times New Roman"/>
                    </w:rPr>
                  </w:pPr>
                  <w:r>
                    <w:rPr>
                      <w:rFonts w:hint="eastAsia" w:cs="宋体"/>
                    </w:rPr>
                    <w:t>是否符合办理条件</w:t>
                  </w:r>
                </w:p>
              </w:txbxContent>
            </v:textbox>
          </v:shape>
        </w:pict>
      </w:r>
      <w:r>
        <w:pict>
          <v:shape id="_x0000_s1029" o:spid="_x0000_s1029" o:spt="32" type="#_x0000_t32" style="position:absolute;left:0pt;flip:x;margin-left:133.95pt;margin-top:40.1pt;height:29.2pt;width:0.9pt;z-index:251669504;mso-width-relative:page;mso-height-relative:page;" filled="f" coordsize="21600,21600">
            <v:path arrowok="t"/>
            <v:fill on="f" focussize="0,0"/>
            <v:stroke endarrow="open"/>
            <v:imagedata o:title=""/>
            <o:lock v:ext="edit"/>
          </v:shape>
        </w:pict>
      </w:r>
      <w:r>
        <w:pict>
          <v:roundrect id="_x0000_s1030" o:spid="_x0000_s1030" o:spt="2" style="position:absolute;left:0pt;margin-left:65.1pt;margin-top:8.35pt;height:31.75pt;width:139.45pt;z-index:251660288;v-text-anchor:middle;mso-width-relative:page;mso-height-relative:page;" filled="f" coordsize="21600,21600" arcsize="0.166666666666667">
            <v:path/>
            <v:fill on="f" focussize="0,0"/>
            <v:stroke weight="2pt"/>
            <v:imagedata o:title=""/>
            <o:lock v:ext="edit"/>
            <v:textbox>
              <w:txbxContent>
                <w:p>
                  <w:pPr>
                    <w:jc w:val="center"/>
                    <w:rPr>
                      <w:rFonts w:cs="Times New Roman"/>
                    </w:rPr>
                  </w:pPr>
                  <w:r>
                    <w:rPr>
                      <w:rFonts w:hint="eastAsia" w:cs="宋体"/>
                    </w:rPr>
                    <w:t>受理申请</w:t>
                  </w:r>
                </w:p>
              </w:txbxContent>
            </v:textbox>
          </v:roundrect>
        </w:pict>
      </w:r>
      <w:r>
        <w:pict>
          <v:roundrect id="_x0000_s1031" o:spid="_x0000_s1031" o:spt="2" style="position:absolute;left:0pt;margin-left:76.2pt;margin-top:426.55pt;height:45.9pt;width:124.45pt;z-index:251667456;v-text-anchor:middle;mso-width-relative:page;mso-height-relative:page;" coordsize="21600,21600" arcsize="0.166666666666667">
            <v:path/>
            <v:fill focussize="0,0"/>
            <v:stroke weight="2pt"/>
            <v:imagedata o:title=""/>
            <o:lock v:ext="edit"/>
            <v:textbox>
              <w:txbxContent>
                <w:p>
                  <w:pPr>
                    <w:jc w:val="center"/>
                    <w:rPr>
                      <w:rFonts w:cs="Times New Roman"/>
                    </w:rPr>
                  </w:pPr>
                  <w:r>
                    <w:rPr>
                      <w:rFonts w:hint="eastAsia" w:cs="宋体"/>
                    </w:rPr>
                    <w:t>对业务进行审核</w:t>
                  </w:r>
                </w:p>
              </w:txbxContent>
            </v:textbox>
          </v:roundrect>
        </w:pict>
      </w:r>
      <w:r>
        <w:pict>
          <v:shape id="_x0000_s1032" o:spid="_x0000_s1032" o:spt="110" type="#_x0000_t110" style="position:absolute;left:0pt;margin-left:69.25pt;margin-top:243.05pt;height:74.95pt;width:133.35pt;z-index:251666432;v-text-anchor:middle;mso-width-relative:page;mso-height-relative:page;" coordsize="21600,21600">
            <v:path/>
            <v:fill focussize="0,0"/>
            <v:stroke weight="2pt" joinstyle="round"/>
            <v:imagedata o:title=""/>
            <o:lock v:ext="edit"/>
            <v:textbox>
              <w:txbxContent>
                <w:p>
                  <w:pPr>
                    <w:jc w:val="center"/>
                    <w:rPr>
                      <w:rFonts w:cs="Times New Roman"/>
                    </w:rPr>
                  </w:pPr>
                  <w:r>
                    <w:rPr>
                      <w:rFonts w:hint="eastAsia" w:cs="宋体"/>
                    </w:rPr>
                    <w:t>申请材料是否齐全</w:t>
                  </w:r>
                </w:p>
              </w:txbxContent>
            </v:textbox>
          </v:shape>
        </w:pict>
      </w:r>
      <w:r>
        <w:pict>
          <v:roundrect id="_x0000_s1033" o:spid="_x0000_s1033" o:spt="2" style="position:absolute;left:0pt;margin-left:308.65pt;margin-top:77.65pt;height:67.05pt;width:88.3pt;z-index:251662336;v-text-anchor:middle;mso-width-relative:page;mso-height-relative:page;" coordsize="21600,21600" arcsize="0.166666666666667">
            <v:path/>
            <v:fill focussize="0,0"/>
            <v:stroke weight="2pt"/>
            <v:imagedata o:title=""/>
            <o:lock v:ext="edit"/>
            <v:textbox>
              <w:txbxContent>
                <w:p>
                  <w:pPr>
                    <w:jc w:val="center"/>
                    <w:rPr>
                      <w:rFonts w:cs="Times New Roman"/>
                    </w:rPr>
                  </w:pPr>
                  <w:r>
                    <w:rPr>
                      <w:rFonts w:hint="eastAsia" w:cs="宋体"/>
                    </w:rPr>
                    <w:t>不予办理并告知理由</w:t>
                  </w:r>
                </w:p>
              </w:txbxContent>
            </v:textbox>
          </v:roundrect>
        </w:pict>
      </w:r>
      <w:r>
        <w:pict>
          <v:rect id="文本框 85" o:spid="_x0000_s1034" o:spt="1" style="position:absolute;left:0pt;margin-left:307.15pt;margin-top:323.55pt;height:24.65pt;width:80.8pt;z-index:251659264;mso-width-relative:page;mso-height-relative:page;" stroked="f" coordsize="21600,21600">
            <v:path/>
            <v:fill focussize="0,0"/>
            <v:stroke on="f"/>
            <v:imagedata o:title=""/>
            <o:lock v:ext="edit"/>
            <v:textbox>
              <w:txbxContent>
                <w:p>
                  <w:pPr>
                    <w:rPr>
                      <w:rFonts w:cs="Times New Roman"/>
                    </w:rPr>
                  </w:pPr>
                </w:p>
              </w:txbxContent>
            </v:textbox>
          </v:rect>
        </w:pic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tabs>
          <w:tab w:val="left" w:pos="4762"/>
        </w:tabs>
        <w:jc w:val="left"/>
        <w:rPr>
          <w:rFonts w:cs="Times New Roman"/>
        </w:rPr>
      </w:pPr>
      <w:r>
        <w:pict>
          <v:roundrect id="_x0000_s1035" o:spid="_x0000_s1035" o:spt="2" style="position:absolute;left:0pt;margin-left:67.05pt;margin-top:79.55pt;height:40.55pt;width:137.65pt;z-index:251663360;v-text-anchor:middle;mso-width-relative:page;mso-height-relative:page;" coordsize="21600,21600" arcsize="0.166666666666667">
            <v:path/>
            <v:fill focussize="0,0"/>
            <v:stroke weight="2pt"/>
            <v:imagedata o:title=""/>
            <o:lock v:ext="edit"/>
            <v:textbox>
              <w:txbxContent>
                <w:p>
                  <w:pPr>
                    <w:jc w:val="center"/>
                    <w:rPr>
                      <w:rFonts w:cs="Times New Roman"/>
                    </w:rPr>
                  </w:pPr>
                  <w:r>
                    <w:rPr>
                      <w:rFonts w:hint="eastAsia" w:cs="宋体"/>
                    </w:rPr>
                    <w:t>审核材料</w:t>
                  </w:r>
                </w:p>
              </w:txbxContent>
            </v:textbox>
          </v:roundrect>
        </w:pict>
      </w:r>
      <w:r>
        <w:rPr>
          <w:rFonts w:cs="Times New Roman"/>
        </w:rPr>
        <w:tab/>
      </w:r>
      <w:r>
        <w:t xml:space="preserve">  </w:t>
      </w:r>
      <w:r>
        <w:rPr>
          <w:rFonts w:hint="eastAsia" w:cs="宋体"/>
        </w:rPr>
        <w:t>否</w:t>
      </w:r>
    </w:p>
    <w:p>
      <w:pPr>
        <w:rPr>
          <w:rFonts w:cs="Times New Roman"/>
        </w:rPr>
      </w:pPr>
    </w:p>
    <w:p>
      <w:pPr>
        <w:rPr>
          <w:rFonts w:cs="Times New Roman"/>
        </w:rPr>
      </w:pPr>
    </w:p>
    <w:p>
      <w:pPr>
        <w:rPr>
          <w:rFonts w:cs="Times New Roman"/>
        </w:rPr>
      </w:pPr>
      <w:r>
        <w:pict>
          <v:shape id="_x0000_s1036" o:spid="_x0000_s1036" o:spt="32" type="#_x0000_t32" style="position:absolute;left:0pt;flip:y;margin-left:350.15pt;margin-top:8.15pt;height:395.8pt;width:0.9pt;z-index:251679744;mso-width-relative:page;mso-height-relative:page;" filled="f" coordsize="21600,21600">
            <v:path arrowok="t"/>
            <v:fill on="f" focussize="0,0"/>
            <v:stroke endarrow="open"/>
            <v:imagedata o:title=""/>
            <o:lock v:ext="edit"/>
          </v:shape>
        </w:pict>
      </w:r>
    </w:p>
    <w:p>
      <w:pPr>
        <w:tabs>
          <w:tab w:val="left" w:pos="3032"/>
        </w:tabs>
        <w:jc w:val="left"/>
        <w:rPr>
          <w:rFonts w:cs="Times New Roman"/>
        </w:rPr>
      </w:pPr>
      <w:r>
        <w:pict>
          <v:line id="_x0000_s1037" o:spid="_x0000_s1037" o:spt="20" style="position:absolute;left:0pt;flip:x;margin-left:270.75pt;margin-top:39.65pt;height:85.6pt;width:0.85pt;z-index:251673600;mso-width-relative:page;mso-height-relative:page;" coordsize="21600,21600">
            <v:path arrowok="t"/>
            <v:fill focussize="0,0"/>
            <v:stroke/>
            <v:imagedata o:title=""/>
            <o:lock v:ext="edit"/>
          </v:line>
        </w:pict>
      </w:r>
      <w:r>
        <w:pict>
          <v:shape id="_x0000_s1038" o:spid="_x0000_s1038" o:spt="32" type="#_x0000_t32" style="position:absolute;left:0pt;flip:x;margin-left:203.65pt;margin-top:40.4pt;height:0pt;width:67.95pt;z-index:251672576;mso-width-relative:page;mso-height-relative:page;" filled="f" coordsize="21600,21600">
            <v:path arrowok="t"/>
            <v:fill on="f" focussize="0,0"/>
            <v:stroke endarrow="open"/>
            <v:imagedata o:title=""/>
            <o:lock v:ext="edit"/>
          </v:shape>
        </w:pict>
      </w:r>
      <w:r>
        <w:pict>
          <v:shape id="_x0000_s1039" o:spid="_x0000_s1039" o:spt="32" type="#_x0000_t32" style="position:absolute;left:0pt;margin-left:135.9pt;margin-top:57.7pt;height:29.35pt;width:0.05pt;z-index:251671552;mso-width-relative:page;mso-height-relative:page;" filled="f" coordsize="21600,21600">
            <v:path arrowok="t"/>
            <v:fill on="f" focussize="0,0"/>
            <v:stroke endarrow="open"/>
            <v:imagedata o:title=""/>
            <o:lock v:ext="edit"/>
          </v:shape>
        </w:pict>
      </w:r>
      <w:r>
        <w:rPr>
          <w:rFonts w:cs="Times New Roman"/>
        </w:rPr>
        <w:tab/>
      </w:r>
      <w:r>
        <w:rPr>
          <w:rFonts w:hint="eastAsia" w:cs="宋体"/>
        </w:rPr>
        <w:t>是</w:t>
      </w:r>
    </w:p>
    <w:p>
      <w:pPr>
        <w:rPr>
          <w:rFonts w:cs="Times New Roman"/>
        </w:rPr>
      </w:pPr>
    </w:p>
    <w:p>
      <w:pPr>
        <w:rPr>
          <w:rFonts w:cs="Times New Roman"/>
        </w:rPr>
      </w:pPr>
    </w:p>
    <w:p>
      <w:pPr>
        <w:rPr>
          <w:rFonts w:cs="Times New Roman"/>
        </w:rPr>
      </w:pPr>
    </w:p>
    <w:p>
      <w:pPr>
        <w:tabs>
          <w:tab w:val="left" w:pos="5662"/>
        </w:tabs>
        <w:rPr>
          <w:rFonts w:cs="Times New Roman"/>
        </w:rPr>
      </w:pPr>
      <w:r>
        <w:rPr>
          <w:rFonts w:cs="Times New Roman"/>
        </w:rPr>
        <w:tab/>
      </w:r>
      <w:r>
        <w:rPr>
          <w:rFonts w:hint="eastAsia" w:cs="宋体"/>
        </w:rPr>
        <w:t>补</w:t>
      </w:r>
    </w:p>
    <w:p>
      <w:pPr>
        <w:tabs>
          <w:tab w:val="left" w:pos="5697"/>
        </w:tabs>
        <w:ind w:firstLine="5670" w:firstLineChars="2700"/>
        <w:rPr>
          <w:rFonts w:cs="Times New Roman"/>
        </w:rPr>
      </w:pPr>
      <w:r>
        <w:rPr>
          <w:rFonts w:hint="eastAsia" w:cs="宋体"/>
        </w:rPr>
        <w:t>正</w:t>
      </w:r>
    </w:p>
    <w:p>
      <w:pPr>
        <w:rPr>
          <w:rFonts w:cs="Times New Roman"/>
        </w:rPr>
      </w:pPr>
    </w:p>
    <w:p>
      <w:pPr>
        <w:jc w:val="center"/>
        <w:rPr>
          <w:rFonts w:cs="Times New Roman"/>
        </w:rPr>
      </w:pPr>
      <w:r>
        <w:pict>
          <v:shape id="_x0000_s1040" o:spid="_x0000_s1040" o:spt="32" type="#_x0000_t32" style="position:absolute;left:0pt;flip:x;margin-left:202.6pt;margin-top:14.9pt;height:0.45pt;width:69pt;z-index:251674624;mso-width-relative:page;mso-height-relative:page;" filled="f" coordsize="21600,21600">
            <v:path arrowok="t"/>
            <v:fill on="f" focussize="0,0"/>
            <v:stroke weight="1pt"/>
            <v:imagedata o:title=""/>
            <o:lock v:ext="edit"/>
          </v:shape>
        </w:pict>
      </w:r>
      <w:r>
        <w:t xml:space="preserve">           </w:t>
      </w:r>
      <w:r>
        <w:rPr>
          <w:rFonts w:hint="eastAsia" w:cs="宋体"/>
        </w:rPr>
        <w:t>否</w:t>
      </w:r>
    </w:p>
    <w:p>
      <w:pPr>
        <w:rPr>
          <w:rFonts w:cs="Times New Roman"/>
        </w:rPr>
      </w:pPr>
    </w:p>
    <w:p>
      <w:pPr>
        <w:rPr>
          <w:rFonts w:cs="Times New Roman"/>
        </w:rPr>
      </w:pPr>
    </w:p>
    <w:p>
      <w:pPr>
        <w:rPr>
          <w:rFonts w:cs="Times New Roman"/>
        </w:rPr>
      </w:pPr>
      <w:r>
        <w:pict>
          <v:shape id="_x0000_s1041" o:spid="_x0000_s1041" o:spt="32" type="#_x0000_t32" style="position:absolute;left:0pt;flip:x;margin-left:134.85pt;margin-top:6.9pt;height:38.4pt;width:1.1pt;z-index:251675648;mso-width-relative:page;mso-height-relative:page;" filled="f" coordsize="21600,21600">
            <v:path arrowok="t"/>
            <v:fill on="f" focussize="0,0"/>
            <v:stroke endarrow="open"/>
            <v:imagedata o:title=""/>
            <o:lock v:ext="edit"/>
          </v:shape>
        </w:pict>
      </w:r>
    </w:p>
    <w:p>
      <w:pPr>
        <w:tabs>
          <w:tab w:val="left" w:pos="2891"/>
        </w:tabs>
        <w:jc w:val="left"/>
        <w:rPr>
          <w:rFonts w:cs="Times New Roman"/>
        </w:rPr>
      </w:pPr>
      <w:r>
        <w:pict>
          <v:shape id="_x0000_s1042" o:spid="_x0000_s1042" o:spt="32" type="#_x0000_t32" style="position:absolute;left:0pt;flip:x;margin-left:137.8pt;margin-top:144.85pt;height:33.15pt;width:0.65pt;z-index:251677696;mso-width-relative:page;mso-height-relative:page;" filled="f" coordsize="21600,21600">
            <v:path arrowok="t"/>
            <v:fill on="f" focussize="0,0"/>
            <v:stroke endarrow="open"/>
            <v:imagedata o:title=""/>
            <o:lock v:ext="edit"/>
          </v:shape>
        </w:pict>
      </w:r>
      <w:r>
        <w:pict>
          <v:shape id="_x0000_s1043" o:spid="_x0000_s1043" o:spt="110" type="#_x0000_t110" style="position:absolute;left:0pt;margin-left:67.15pt;margin-top:178pt;height:76.7pt;width:141.25pt;z-index:251668480;v-text-anchor:middle;mso-width-relative:page;mso-height-relative:page;" coordsize="21600,21600">
            <v:path/>
            <v:fill focussize="0,0"/>
            <v:stroke weight="2pt" joinstyle="round"/>
            <v:imagedata o:title=""/>
            <o:lock v:ext="edit"/>
            <v:textbox>
              <w:txbxContent>
                <w:p>
                  <w:pPr>
                    <w:jc w:val="center"/>
                    <w:rPr>
                      <w:rFonts w:cs="Times New Roman"/>
                    </w:rPr>
                  </w:pPr>
                  <w:r>
                    <w:rPr>
                      <w:rFonts w:hint="eastAsia" w:cs="宋体"/>
                    </w:rPr>
                    <w:t>是否符合办理条件</w:t>
                  </w:r>
                </w:p>
              </w:txbxContent>
            </v:textbox>
          </v:shape>
        </w:pict>
      </w:r>
      <w:r>
        <w:pict>
          <v:shape id="_x0000_s1044" o:spid="_x0000_s1044" o:spt="32" type="#_x0000_t32" style="position:absolute;left:0pt;margin-left:136.6pt;margin-top:70.15pt;height:28.8pt;width:0.05pt;z-index:251676672;mso-width-relative:page;mso-height-relative:page;" filled="f" coordsize="21600,21600">
            <v:path arrowok="t"/>
            <v:fill on="f" focussize="0,0"/>
            <v:stroke endarrow="open"/>
            <v:imagedata o:title=""/>
            <o:lock v:ext="edit"/>
          </v:shape>
        </w:pict>
      </w:r>
      <w:r>
        <w:rPr>
          <w:rFonts w:cs="Times New Roman"/>
        </w:rPr>
        <w:tab/>
      </w:r>
      <w:r>
        <w:rPr>
          <w:rFonts w:hint="eastAsia" w:cs="宋体"/>
        </w:rPr>
        <w:t>是</w:t>
      </w:r>
    </w:p>
    <w:p>
      <w:pPr>
        <w:rPr>
          <w:rFonts w:cs="Times New Roman"/>
        </w:rPr>
      </w:pPr>
      <w:r>
        <w:pict>
          <v:roundrect id="_x0000_s1045" o:spid="_x0000_s1045" o:spt="2" style="position:absolute;left:0pt;margin-left:53.75pt;margin-top:13.15pt;height:43.2pt;width:157.9pt;z-index:251664384;v-text-anchor:middle;mso-width-relative:page;mso-height-relative:page;" coordsize="21600,21600" arcsize="0.166666666666667">
            <v:path/>
            <v:fill focussize="0,0"/>
            <v:stroke weight="2pt"/>
            <v:imagedata o:title=""/>
            <o:lock v:ext="edit"/>
            <v:textbox>
              <w:txbxContent>
                <w:p>
                  <w:pPr>
                    <w:jc w:val="center"/>
                    <w:rPr>
                      <w:rFonts w:cs="Times New Roman"/>
                    </w:rPr>
                  </w:pPr>
                  <w:r>
                    <w:rPr>
                      <w:rFonts w:hint="eastAsia" w:cs="宋体"/>
                    </w:rPr>
                    <w:t>办理退休资格确认业务</w:t>
                  </w:r>
                </w:p>
              </w:txbxContent>
            </v:textbox>
          </v:roundrect>
        </w:pic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tabs>
          <w:tab w:val="left" w:pos="5679"/>
        </w:tabs>
        <w:jc w:val="left"/>
        <w:rPr>
          <w:rFonts w:cs="Times New Roman"/>
        </w:rPr>
      </w:pPr>
      <w:r>
        <w:pict>
          <v:roundrect id="_x0000_s1046" o:spid="_x0000_s1046" o:spt="2" style="position:absolute;left:0pt;margin-left:80.2pt;margin-top:111.6pt;height:38.05pt;width:124.45pt;z-index:251665408;v-text-anchor:middle;mso-width-relative:page;mso-height-relative:page;" coordsize="21600,21600" arcsize="0.166666666666667">
            <v:path/>
            <v:fill focussize="0,0"/>
            <v:stroke weight="2pt"/>
            <v:imagedata o:title=""/>
            <o:lock v:ext="edit"/>
            <v:textbox>
              <w:txbxContent>
                <w:p>
                  <w:pPr>
                    <w:jc w:val="center"/>
                    <w:rPr>
                      <w:rFonts w:cs="Times New Roman"/>
                    </w:rPr>
                  </w:pPr>
                  <w:r>
                    <w:rPr>
                      <w:rFonts w:hint="eastAsia" w:cs="宋体"/>
                    </w:rPr>
                    <w:t>办</w:t>
                  </w:r>
                  <w:r>
                    <w:t xml:space="preserve">   </w:t>
                  </w:r>
                  <w:r>
                    <w:rPr>
                      <w:rFonts w:hint="eastAsia" w:cs="宋体"/>
                    </w:rPr>
                    <w:t>结</w:t>
                  </w:r>
                </w:p>
              </w:txbxContent>
            </v:textbox>
          </v:roundrect>
        </w:pict>
      </w:r>
      <w:r>
        <w:pict>
          <v:shape id="_x0000_s1047" o:spid="_x0000_s1047" o:spt="32" type="#_x0000_t32" style="position:absolute;left:0pt;flip:x;margin-left:137.5pt;margin-top:67.5pt;height:41.45pt;width:0.3pt;z-index:251680768;mso-width-relative:page;mso-height-relative:page;" filled="f" coordsize="21600,21600">
            <v:path arrowok="t"/>
            <v:fill on="f" focussize="0,0"/>
            <v:stroke endarrow="open"/>
            <v:imagedata o:title=""/>
            <o:lock v:ext="edit"/>
          </v:shape>
        </w:pict>
      </w:r>
      <w:r>
        <w:rPr>
          <w:rFonts w:cs="Times New Roman"/>
        </w:rPr>
        <w:tab/>
      </w:r>
      <w:r>
        <w:rPr>
          <w:rFonts w:hint="eastAsia" w:cs="宋体"/>
        </w:rPr>
        <w:t>否</w:t>
      </w:r>
    </w:p>
    <w:p>
      <w:pPr>
        <w:rPr>
          <w:rFonts w:cs="Times New Roman"/>
        </w:rPr>
      </w:pPr>
      <w:r>
        <w:pict>
          <v:line id="_x0000_s1048" o:spid="_x0000_s1048" o:spt="20" style="position:absolute;left:0pt;flip:y;margin-left:208.95pt;margin-top:13.1pt;height:0.85pt;width:142.1pt;z-index:251678720;mso-width-relative:page;mso-height-relative:page;" coordsize="21600,21600">
            <v:path arrowok="t"/>
            <v:fill focussize="0,0"/>
            <v:stroke/>
            <v:imagedata o:title=""/>
            <o:lock v:ext="edit"/>
          </v:line>
        </w:pict>
      </w:r>
    </w:p>
    <w:p>
      <w:pPr>
        <w:rPr>
          <w:rFonts w:cs="Times New Roman"/>
        </w:rPr>
      </w:pPr>
    </w:p>
    <w:p>
      <w:pPr>
        <w:rPr>
          <w:rFonts w:cs="Times New Roman"/>
        </w:rPr>
      </w:pPr>
    </w:p>
    <w:p>
      <w:pPr>
        <w:rPr>
          <w:rFonts w:cs="Times New Roman"/>
        </w:rPr>
      </w:pPr>
    </w:p>
    <w:p>
      <w:pPr>
        <w:tabs>
          <w:tab w:val="left" w:pos="2979"/>
        </w:tabs>
        <w:jc w:val="left"/>
        <w:rPr>
          <w:rFonts w:cs="Times New Roman"/>
        </w:rPr>
      </w:pPr>
      <w:r>
        <w:rPr>
          <w:rFonts w:cs="Times New Roman"/>
        </w:rPr>
        <w:tab/>
      </w:r>
      <w:r>
        <w:rPr>
          <w:rFonts w:hint="eastAsia" w:cs="宋体"/>
        </w:rPr>
        <w:t>是</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D6A62C"/>
    <w:multiLevelType w:val="singleLevel"/>
    <w:tmpl w:val="67D6A6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U0MDA0MDc1NzIyNGVhZGVkNWJmOTAxYWU4YTY2YjIifQ=="/>
  </w:docVars>
  <w:rsids>
    <w:rsidRoot w:val="00E035DA"/>
    <w:rsid w:val="00052B7F"/>
    <w:rsid w:val="000661AA"/>
    <w:rsid w:val="00067F91"/>
    <w:rsid w:val="000B3C1A"/>
    <w:rsid w:val="000B7EB5"/>
    <w:rsid w:val="000E6E7B"/>
    <w:rsid w:val="0011511A"/>
    <w:rsid w:val="00125FD7"/>
    <w:rsid w:val="00132943"/>
    <w:rsid w:val="00135AF2"/>
    <w:rsid w:val="001456C7"/>
    <w:rsid w:val="00157651"/>
    <w:rsid w:val="00160426"/>
    <w:rsid w:val="00162009"/>
    <w:rsid w:val="00177CA3"/>
    <w:rsid w:val="00181AC1"/>
    <w:rsid w:val="001B1D3D"/>
    <w:rsid w:val="001D3D45"/>
    <w:rsid w:val="002011D0"/>
    <w:rsid w:val="00215CDE"/>
    <w:rsid w:val="0025581F"/>
    <w:rsid w:val="002603AC"/>
    <w:rsid w:val="00283E31"/>
    <w:rsid w:val="002935F0"/>
    <w:rsid w:val="002B35CF"/>
    <w:rsid w:val="002D251F"/>
    <w:rsid w:val="002E458A"/>
    <w:rsid w:val="00315159"/>
    <w:rsid w:val="00332D8D"/>
    <w:rsid w:val="00342385"/>
    <w:rsid w:val="00344B4B"/>
    <w:rsid w:val="003758D2"/>
    <w:rsid w:val="00387B93"/>
    <w:rsid w:val="003B637B"/>
    <w:rsid w:val="003D58EB"/>
    <w:rsid w:val="003E26C5"/>
    <w:rsid w:val="003F7B51"/>
    <w:rsid w:val="00405501"/>
    <w:rsid w:val="00412607"/>
    <w:rsid w:val="00426B77"/>
    <w:rsid w:val="00435CC4"/>
    <w:rsid w:val="0044130E"/>
    <w:rsid w:val="00472204"/>
    <w:rsid w:val="004E0B17"/>
    <w:rsid w:val="005066D4"/>
    <w:rsid w:val="00524F51"/>
    <w:rsid w:val="00530F0A"/>
    <w:rsid w:val="00531628"/>
    <w:rsid w:val="005439D6"/>
    <w:rsid w:val="005606C0"/>
    <w:rsid w:val="00577776"/>
    <w:rsid w:val="005B6AB2"/>
    <w:rsid w:val="00602A94"/>
    <w:rsid w:val="006439D6"/>
    <w:rsid w:val="00654E9E"/>
    <w:rsid w:val="00662A4D"/>
    <w:rsid w:val="00662A59"/>
    <w:rsid w:val="00691B50"/>
    <w:rsid w:val="00697F97"/>
    <w:rsid w:val="006A2D0C"/>
    <w:rsid w:val="006A4C2E"/>
    <w:rsid w:val="00706BB1"/>
    <w:rsid w:val="007418BB"/>
    <w:rsid w:val="007419B4"/>
    <w:rsid w:val="00742165"/>
    <w:rsid w:val="00750A34"/>
    <w:rsid w:val="007C007E"/>
    <w:rsid w:val="00805BB8"/>
    <w:rsid w:val="00810343"/>
    <w:rsid w:val="00821418"/>
    <w:rsid w:val="00834114"/>
    <w:rsid w:val="00866B62"/>
    <w:rsid w:val="0087358F"/>
    <w:rsid w:val="0087394A"/>
    <w:rsid w:val="008946C6"/>
    <w:rsid w:val="008A19F7"/>
    <w:rsid w:val="008D01AD"/>
    <w:rsid w:val="008D36FA"/>
    <w:rsid w:val="008D4AC8"/>
    <w:rsid w:val="008E02B2"/>
    <w:rsid w:val="009012BA"/>
    <w:rsid w:val="00902419"/>
    <w:rsid w:val="009103D1"/>
    <w:rsid w:val="009146EE"/>
    <w:rsid w:val="00976FA9"/>
    <w:rsid w:val="00997B63"/>
    <w:rsid w:val="00A17092"/>
    <w:rsid w:val="00A514CD"/>
    <w:rsid w:val="00A63978"/>
    <w:rsid w:val="00A81613"/>
    <w:rsid w:val="00A97798"/>
    <w:rsid w:val="00AB3913"/>
    <w:rsid w:val="00AC2D15"/>
    <w:rsid w:val="00AD1499"/>
    <w:rsid w:val="00B22187"/>
    <w:rsid w:val="00B24EB6"/>
    <w:rsid w:val="00B25911"/>
    <w:rsid w:val="00B378F3"/>
    <w:rsid w:val="00B43FC0"/>
    <w:rsid w:val="00B454C2"/>
    <w:rsid w:val="00B56D05"/>
    <w:rsid w:val="00B631F5"/>
    <w:rsid w:val="00B7296F"/>
    <w:rsid w:val="00B72AC5"/>
    <w:rsid w:val="00BD161A"/>
    <w:rsid w:val="00C24967"/>
    <w:rsid w:val="00C32ABA"/>
    <w:rsid w:val="00C71EA4"/>
    <w:rsid w:val="00C96F93"/>
    <w:rsid w:val="00CB4E38"/>
    <w:rsid w:val="00CB6EBE"/>
    <w:rsid w:val="00DA2697"/>
    <w:rsid w:val="00DB37F5"/>
    <w:rsid w:val="00DB7F59"/>
    <w:rsid w:val="00DC204F"/>
    <w:rsid w:val="00DE49F3"/>
    <w:rsid w:val="00E035DA"/>
    <w:rsid w:val="00E1693D"/>
    <w:rsid w:val="00E32ADC"/>
    <w:rsid w:val="00E93997"/>
    <w:rsid w:val="00EB1B20"/>
    <w:rsid w:val="00EC1282"/>
    <w:rsid w:val="00EC44E8"/>
    <w:rsid w:val="00EE5A14"/>
    <w:rsid w:val="00EF23A9"/>
    <w:rsid w:val="00F22039"/>
    <w:rsid w:val="00F220B8"/>
    <w:rsid w:val="00F61919"/>
    <w:rsid w:val="00F779CC"/>
    <w:rsid w:val="00F91A28"/>
    <w:rsid w:val="00FA4641"/>
    <w:rsid w:val="00FF68B7"/>
    <w:rsid w:val="087424AC"/>
    <w:rsid w:val="0C4408B3"/>
    <w:rsid w:val="19052C58"/>
    <w:rsid w:val="208A64EE"/>
    <w:rsid w:val="249D5F82"/>
    <w:rsid w:val="2E281061"/>
    <w:rsid w:val="2FC67981"/>
    <w:rsid w:val="316E2FA4"/>
    <w:rsid w:val="34100255"/>
    <w:rsid w:val="37180B8A"/>
    <w:rsid w:val="3B67255B"/>
    <w:rsid w:val="41FC610F"/>
    <w:rsid w:val="47061489"/>
    <w:rsid w:val="4951607A"/>
    <w:rsid w:val="4F665E42"/>
    <w:rsid w:val="50893316"/>
    <w:rsid w:val="51454573"/>
    <w:rsid w:val="52483461"/>
    <w:rsid w:val="58337525"/>
    <w:rsid w:val="59E47DBC"/>
    <w:rsid w:val="5DF8252B"/>
    <w:rsid w:val="62935DA5"/>
    <w:rsid w:val="6CE218AF"/>
    <w:rsid w:val="70CA0A3A"/>
    <w:rsid w:val="715065F2"/>
    <w:rsid w:val="71DF492D"/>
    <w:rsid w:val="728C284F"/>
    <w:rsid w:val="7B4F0938"/>
    <w:rsid w:val="7BDA59A7"/>
    <w:rsid w:val="7C560157"/>
    <w:rsid w:val="7D1E6629"/>
    <w:rsid w:val="7FFF1CF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9"/>
        <o:r id="V:Rule4" type="connector" idref="#_x0000_s1036"/>
        <o:r id="V:Rule5" type="connector" idref="#_x0000_s1038"/>
        <o:r id="V:Rule6" type="connector" idref="#_x0000_s1039"/>
        <o:r id="V:Rule7" type="connector" idref="#_x0000_s1040"/>
        <o:r id="V:Rule8" type="connector" idref="#_x0000_s1041"/>
        <o:r id="V:Rule9" type="connector" idref="#_x0000_s1042"/>
        <o:r id="V:Rule10" type="connector" idref="#_x0000_s1044"/>
        <o:r id="V:Rule11" type="connector" idref="#_x0000_s104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7">
    <w:name w:val="Hyperlink"/>
    <w:basedOn w:val="6"/>
    <w:qFormat/>
    <w:uiPriority w:val="99"/>
    <w:rPr>
      <w:color w:val="0000FF"/>
      <w:u w:val="single"/>
    </w:rPr>
  </w:style>
  <w:style w:type="character" w:customStyle="1" w:styleId="8">
    <w:name w:val="Footer Char"/>
    <w:basedOn w:val="6"/>
    <w:link w:val="2"/>
    <w:locked/>
    <w:uiPriority w:val="99"/>
    <w:rPr>
      <w:kern w:val="2"/>
      <w:sz w:val="18"/>
      <w:szCs w:val="18"/>
    </w:rPr>
  </w:style>
  <w:style w:type="character" w:customStyle="1" w:styleId="9">
    <w:name w:val="Header Char"/>
    <w:basedOn w:val="6"/>
    <w:link w:val="3"/>
    <w:locked/>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1263</Words>
  <Characters>1329</Characters>
  <Lines>0</Lines>
  <Paragraphs>0</Paragraphs>
  <TotalTime>398</TotalTime>
  <ScaleCrop>false</ScaleCrop>
  <LinksUpToDate>false</LinksUpToDate>
  <CharactersWithSpaces>1357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2020-02-07T08:12:00Z</dcterms:created>
  <dc:creator>陈倩</dc:creator>
  <cp:lastModifiedBy>liuH</cp:lastModifiedBy>
  <cp:lastPrinted>2020-03-25T05:45:00Z</cp:lastPrinted>
  <dcterms:modified xsi:type="dcterms:W3CDTF">2022-05-25T09:12:18Z</dcterms:modified>
  <dc:title>一、办理事项名称：职工断档补缴</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E0C472000C7C42F9AC3EC42179C58413</vt:lpwstr>
  </property>
</Properties>
</file>